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1757" w:rsidRPr="00211757" w:rsidRDefault="0003794A" w:rsidP="00211757">
      <w:pPr>
        <w:rPr>
          <w:rFonts w:ascii="MrEavesModOT" w:hAnsi="MrEavesModOT" w:cs="Arial"/>
          <w:b/>
          <w:bCs/>
          <w:sz w:val="32"/>
          <w:szCs w:val="24"/>
        </w:rPr>
      </w:pPr>
      <w:r>
        <w:rPr>
          <w:rFonts w:ascii="MrEavesModOT" w:hAnsi="MrEavesModOT" w:cs="Arial"/>
          <w:b/>
          <w:bCs/>
          <w:noProof/>
          <w:sz w:val="32"/>
          <w:szCs w:val="24"/>
          <w:lang w:bidi="he-IL"/>
        </w:rPr>
        <w:drawing>
          <wp:inline distT="0" distB="0" distL="0" distR="0">
            <wp:extent cx="2778132" cy="7924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full-one-color-black.png"/>
                    <pic:cNvPicPr/>
                  </pic:nvPicPr>
                  <pic:blipFill>
                    <a:blip r:embed="rId5">
                      <a:extLst>
                        <a:ext uri="{28A0092B-C50C-407E-A947-70E740481C1C}">
                          <a14:useLocalDpi xmlns:a14="http://schemas.microsoft.com/office/drawing/2010/main" val="0"/>
                        </a:ext>
                      </a:extLst>
                    </a:blip>
                    <a:stretch>
                      <a:fillRect/>
                    </a:stretch>
                  </pic:blipFill>
                  <pic:spPr>
                    <a:xfrm>
                      <a:off x="0" y="0"/>
                      <a:ext cx="2818570" cy="804015"/>
                    </a:xfrm>
                    <a:prstGeom prst="rect">
                      <a:avLst/>
                    </a:prstGeom>
                  </pic:spPr>
                </pic:pic>
              </a:graphicData>
            </a:graphic>
          </wp:inline>
        </w:drawing>
      </w:r>
    </w:p>
    <w:p w:rsidR="00211757" w:rsidRPr="00211757" w:rsidRDefault="00211757" w:rsidP="00211757">
      <w:pPr>
        <w:rPr>
          <w:rFonts w:ascii="MrEavesModOT" w:hAnsi="MrEavesModOT" w:cs="Arial"/>
          <w:bCs/>
          <w:sz w:val="48"/>
          <w:szCs w:val="24"/>
        </w:rPr>
      </w:pPr>
      <w:r w:rsidRPr="00211757">
        <w:rPr>
          <w:rFonts w:ascii="MrEavesModOT" w:hAnsi="MrEavesModOT" w:cs="Arial"/>
          <w:bCs/>
          <w:sz w:val="48"/>
          <w:szCs w:val="24"/>
        </w:rPr>
        <w:t>Session: “What Makes a Mikveh Welcoming?”</w:t>
      </w:r>
    </w:p>
    <w:p w:rsidR="00211757" w:rsidRPr="00211757" w:rsidRDefault="00211757" w:rsidP="00211757">
      <w:pPr>
        <w:rPr>
          <w:rFonts w:ascii="MrEavesModOT" w:hAnsi="MrEavesModOT" w:cs="Arial"/>
          <w:b/>
          <w:bCs/>
          <w:sz w:val="32"/>
          <w:szCs w:val="24"/>
        </w:rPr>
      </w:pPr>
    </w:p>
    <w:p w:rsidR="00211757" w:rsidRPr="00211757" w:rsidRDefault="00211757" w:rsidP="00211757">
      <w:pPr>
        <w:rPr>
          <w:rFonts w:ascii="MrEavesModOT" w:hAnsi="MrEavesModOT" w:cs="Arial"/>
          <w:b/>
          <w:bCs/>
          <w:sz w:val="32"/>
          <w:szCs w:val="24"/>
        </w:rPr>
      </w:pPr>
      <w:proofErr w:type="spellStart"/>
      <w:r w:rsidRPr="00211757">
        <w:rPr>
          <w:rFonts w:ascii="MrEavesModOT" w:hAnsi="MrEavesModOT" w:cs="Arial"/>
          <w:b/>
          <w:bCs/>
          <w:sz w:val="32"/>
          <w:szCs w:val="24"/>
        </w:rPr>
        <w:t>Avot</w:t>
      </w:r>
      <w:proofErr w:type="spellEnd"/>
      <w:r w:rsidRPr="00211757">
        <w:rPr>
          <w:rFonts w:ascii="MrEavesModOT" w:hAnsi="MrEavesModOT" w:cs="Arial"/>
          <w:b/>
          <w:bCs/>
          <w:sz w:val="32"/>
          <w:szCs w:val="24"/>
        </w:rPr>
        <w:t xml:space="preserve"> </w:t>
      </w:r>
      <w:proofErr w:type="spellStart"/>
      <w:r w:rsidRPr="00211757">
        <w:rPr>
          <w:rFonts w:ascii="MrEavesModOT" w:hAnsi="MrEavesModOT" w:cs="Arial"/>
          <w:b/>
          <w:bCs/>
          <w:sz w:val="32"/>
          <w:szCs w:val="24"/>
        </w:rPr>
        <w:t>D'Rabbi</w:t>
      </w:r>
      <w:proofErr w:type="spellEnd"/>
      <w:r w:rsidRPr="00211757">
        <w:rPr>
          <w:rFonts w:ascii="MrEavesModOT" w:hAnsi="MrEavesModOT" w:cs="Arial"/>
          <w:b/>
          <w:bCs/>
          <w:sz w:val="32"/>
          <w:szCs w:val="24"/>
        </w:rPr>
        <w:t xml:space="preserve"> </w:t>
      </w:r>
      <w:proofErr w:type="spellStart"/>
      <w:r w:rsidRPr="00211757">
        <w:rPr>
          <w:rFonts w:ascii="MrEavesModOT" w:hAnsi="MrEavesModOT" w:cs="Arial"/>
          <w:b/>
          <w:bCs/>
          <w:sz w:val="32"/>
          <w:szCs w:val="24"/>
        </w:rPr>
        <w:t>Natan</w:t>
      </w:r>
      <w:proofErr w:type="spellEnd"/>
      <w:r w:rsidRPr="00211757">
        <w:rPr>
          <w:rFonts w:ascii="MrEavesModOT" w:hAnsi="MrEavesModOT" w:cs="Arial"/>
          <w:b/>
          <w:bCs/>
          <w:sz w:val="32"/>
          <w:szCs w:val="24"/>
        </w:rPr>
        <w:t xml:space="preserve">, Chapter 14 </w:t>
      </w:r>
    </w:p>
    <w:p w:rsidR="00211757" w:rsidRPr="00211757" w:rsidRDefault="00211757" w:rsidP="00211757">
      <w:pPr>
        <w:rPr>
          <w:rFonts w:ascii="MrEavesModOT" w:hAnsi="MrEavesModOT"/>
          <w:i/>
          <w:szCs w:val="24"/>
        </w:rPr>
      </w:pPr>
      <w:r w:rsidRPr="00211757">
        <w:rPr>
          <w:rFonts w:ascii="MrEavesModOT" w:hAnsi="MrEavesModOT"/>
          <w:i/>
          <w:szCs w:val="24"/>
        </w:rPr>
        <w:t>Composed in Talmudic Israel/Babylon (c.650 - c.950 CE). Belongs to the minor tractates (</w:t>
      </w:r>
      <w:proofErr w:type="spellStart"/>
      <w:r w:rsidRPr="00211757">
        <w:rPr>
          <w:rFonts w:ascii="MrEavesModOT" w:hAnsi="MrEavesModOT"/>
          <w:i/>
          <w:szCs w:val="24"/>
        </w:rPr>
        <w:t>Masekhtot</w:t>
      </w:r>
      <w:proofErr w:type="spellEnd"/>
      <w:r w:rsidRPr="00211757">
        <w:rPr>
          <w:rFonts w:ascii="MrEavesModOT" w:hAnsi="MrEavesModOT"/>
          <w:i/>
          <w:szCs w:val="24"/>
        </w:rPr>
        <w:t xml:space="preserve"> </w:t>
      </w:r>
      <w:proofErr w:type="spellStart"/>
      <w:r w:rsidRPr="00211757">
        <w:rPr>
          <w:rFonts w:ascii="MrEavesModOT" w:hAnsi="MrEavesModOT"/>
          <w:i/>
          <w:szCs w:val="24"/>
        </w:rPr>
        <w:t>Ketanot</w:t>
      </w:r>
      <w:proofErr w:type="spellEnd"/>
      <w:r w:rsidRPr="00211757">
        <w:rPr>
          <w:rFonts w:ascii="MrEavesModOT" w:hAnsi="MrEavesModOT"/>
          <w:i/>
          <w:szCs w:val="24"/>
        </w:rPr>
        <w:t xml:space="preserve">), essays from the </w:t>
      </w:r>
      <w:proofErr w:type="spellStart"/>
      <w:r w:rsidRPr="00211757">
        <w:rPr>
          <w:rFonts w:ascii="MrEavesModOT" w:hAnsi="MrEavesModOT"/>
          <w:i/>
          <w:szCs w:val="24"/>
        </w:rPr>
        <w:t>Tannaitic</w:t>
      </w:r>
      <w:proofErr w:type="spellEnd"/>
      <w:r w:rsidRPr="00211757">
        <w:rPr>
          <w:rFonts w:ascii="MrEavesModOT" w:hAnsi="MrEavesModOT"/>
          <w:i/>
          <w:szCs w:val="24"/>
        </w:rPr>
        <w:t xml:space="preserve"> period or later dealing with topics about which no formal tractate exists in the Mishnah. The first eight or so contain much original material; the last seven or so are collections of material scattered throughout the Talmud. </w:t>
      </w:r>
      <w:proofErr w:type="spellStart"/>
      <w:r w:rsidRPr="00211757">
        <w:rPr>
          <w:rFonts w:ascii="MrEavesModOT" w:hAnsi="MrEavesModOT"/>
          <w:i/>
          <w:szCs w:val="24"/>
        </w:rPr>
        <w:t>Avot</w:t>
      </w:r>
      <w:proofErr w:type="spellEnd"/>
      <w:r w:rsidRPr="00211757">
        <w:rPr>
          <w:rFonts w:ascii="MrEavesModOT" w:hAnsi="MrEavesModOT"/>
          <w:i/>
          <w:szCs w:val="24"/>
        </w:rPr>
        <w:t xml:space="preserve"> of Rabbi </w:t>
      </w:r>
      <w:proofErr w:type="spellStart"/>
      <w:r w:rsidRPr="00211757">
        <w:rPr>
          <w:rFonts w:ascii="MrEavesModOT" w:hAnsi="MrEavesModOT"/>
          <w:i/>
          <w:szCs w:val="24"/>
        </w:rPr>
        <w:t>Natan</w:t>
      </w:r>
      <w:proofErr w:type="spellEnd"/>
      <w:r w:rsidRPr="00211757">
        <w:rPr>
          <w:rFonts w:ascii="MrEavesModOT" w:hAnsi="MrEavesModOT"/>
          <w:i/>
          <w:szCs w:val="24"/>
        </w:rPr>
        <w:t xml:space="preserve"> translates to “Father Rabbi Nathan”. </w:t>
      </w:r>
    </w:p>
    <w:p w:rsidR="00211757" w:rsidRPr="00211757" w:rsidRDefault="00211757" w:rsidP="00211757">
      <w:pPr>
        <w:rPr>
          <w:rFonts w:ascii="MrEavesModOT" w:hAnsi="MrEavesModOT"/>
          <w:iCs/>
          <w:sz w:val="24"/>
          <w:szCs w:val="24"/>
        </w:rPr>
      </w:pPr>
    </w:p>
    <w:p w:rsidR="00211757" w:rsidRPr="00211757" w:rsidRDefault="00211757" w:rsidP="00211757">
      <w:pPr>
        <w:rPr>
          <w:rFonts w:ascii="MrEavesModOT" w:hAnsi="MrEavesModOT"/>
          <w:sz w:val="24"/>
          <w:szCs w:val="24"/>
        </w:rPr>
      </w:pPr>
      <w:r w:rsidRPr="00211757">
        <w:rPr>
          <w:rFonts w:ascii="MrEavesModOT" w:hAnsi="MrEavesModOT"/>
          <w:iCs/>
          <w:sz w:val="24"/>
          <w:szCs w:val="24"/>
        </w:rPr>
        <w:t xml:space="preserve">“Yosef ben </w:t>
      </w:r>
      <w:proofErr w:type="spellStart"/>
      <w:r w:rsidRPr="00211757">
        <w:rPr>
          <w:rFonts w:ascii="MrEavesModOT" w:hAnsi="MrEavesModOT"/>
          <w:iCs/>
          <w:sz w:val="24"/>
          <w:szCs w:val="24"/>
        </w:rPr>
        <w:t>Yohanan</w:t>
      </w:r>
      <w:proofErr w:type="spellEnd"/>
      <w:r w:rsidRPr="00211757">
        <w:rPr>
          <w:rFonts w:ascii="MrEavesModOT" w:hAnsi="MrEavesModOT"/>
          <w:iCs/>
          <w:sz w:val="24"/>
          <w:szCs w:val="24"/>
        </w:rPr>
        <w:t xml:space="preserve"> of Jerusalem says: Let your house be opened wide, and let the poor be members of your household”… Job’s house was opened to the North and South, East and West, for Job used to say: From whatever direction a person comes, let that person enter from there, as the Torah says, “I have opened my doors to the wayfarer (</w:t>
      </w:r>
      <w:hyperlink r:id="rId6" w:tgtFrame="_blank" w:history="1">
        <w:r w:rsidRPr="00211757">
          <w:rPr>
            <w:rStyle w:val="Hyperlink"/>
            <w:rFonts w:ascii="MrEavesModOT" w:hAnsi="MrEavesModOT"/>
            <w:iCs/>
            <w:color w:val="auto"/>
            <w:sz w:val="24"/>
            <w:szCs w:val="24"/>
            <w:u w:val="none"/>
            <w:bdr w:val="single" w:sz="6" w:space="2" w:color="B7B7B7" w:frame="1"/>
          </w:rPr>
          <w:t>Job 31:32</w:t>
        </w:r>
      </w:hyperlink>
      <w:r w:rsidRPr="00211757">
        <w:rPr>
          <w:rFonts w:ascii="MrEavesModOT" w:hAnsi="MrEavesModOT"/>
          <w:iCs/>
          <w:sz w:val="24"/>
          <w:szCs w:val="24"/>
        </w:rPr>
        <w:t>).” Job began to say, “I did not act as others. Others eat fine bread and feed the poor coarse bread. Others wear clothes of wool and dress the poor in clothes of sackcloth. . . I fed the poor from what I was eating and dressed the poor in what I was wearing…” Job began to praise himself, saying, “What did our father Abraham do that I did not do?” God said to Job, “How far will you go in self-praise? If the poor did not come into your house, you did not pity them, but Abraham did not act in this way. Rather. . .he went and sat at the door of his tent, as the Torah says, “As he sat at the door of his tent in the heat of the day (</w:t>
      </w:r>
      <w:hyperlink r:id="rId7" w:tgtFrame="_blank" w:history="1">
        <w:r w:rsidRPr="00211757">
          <w:rPr>
            <w:rStyle w:val="Hyperlink"/>
            <w:rFonts w:ascii="MrEavesModOT" w:hAnsi="MrEavesModOT"/>
            <w:iCs/>
            <w:color w:val="auto"/>
            <w:sz w:val="24"/>
            <w:szCs w:val="24"/>
            <w:u w:val="none"/>
            <w:bdr w:val="single" w:sz="6" w:space="2" w:color="B7B7B7" w:frame="1"/>
          </w:rPr>
          <w:t>Genesis 18:1</w:t>
        </w:r>
      </w:hyperlink>
      <w:r w:rsidRPr="00211757">
        <w:rPr>
          <w:rFonts w:ascii="MrEavesModOT" w:hAnsi="MrEavesModOT"/>
          <w:iCs/>
          <w:sz w:val="24"/>
          <w:szCs w:val="24"/>
        </w:rPr>
        <w:t>).”</w:t>
      </w:r>
      <w:r w:rsidRPr="00211757">
        <w:rPr>
          <w:rFonts w:ascii="MrEavesModOT" w:hAnsi="MrEavesModOT"/>
          <w:sz w:val="24"/>
          <w:szCs w:val="24"/>
        </w:rPr>
        <w:t> </w:t>
      </w:r>
    </w:p>
    <w:p w:rsidR="00211757" w:rsidRPr="00211757" w:rsidRDefault="00211757" w:rsidP="00211757">
      <w:pPr>
        <w:rPr>
          <w:rFonts w:ascii="MrEavesModOT" w:hAnsi="MrEavesModOT"/>
          <w:sz w:val="24"/>
          <w:szCs w:val="24"/>
        </w:rPr>
      </w:pPr>
    </w:p>
    <w:p w:rsidR="00211757" w:rsidRPr="00211757" w:rsidRDefault="00211757" w:rsidP="00211757">
      <w:pPr>
        <w:pStyle w:val="ListParagraph"/>
        <w:numPr>
          <w:ilvl w:val="0"/>
          <w:numId w:val="1"/>
        </w:numPr>
        <w:rPr>
          <w:rFonts w:ascii="MrEavesModOT" w:hAnsi="MrEavesModOT"/>
          <w:sz w:val="24"/>
          <w:szCs w:val="24"/>
        </w:rPr>
      </w:pPr>
      <w:r w:rsidRPr="00211757">
        <w:rPr>
          <w:rFonts w:ascii="MrEavesModOT" w:hAnsi="MrEavesModOT"/>
          <w:sz w:val="24"/>
          <w:szCs w:val="24"/>
        </w:rPr>
        <w:t>What is happening in this text? What message or messages does it convey?</w:t>
      </w:r>
    </w:p>
    <w:p w:rsidR="00211757" w:rsidRPr="00211757" w:rsidRDefault="00211757" w:rsidP="00211757">
      <w:pPr>
        <w:pStyle w:val="ListParagraph"/>
        <w:numPr>
          <w:ilvl w:val="0"/>
          <w:numId w:val="1"/>
        </w:numPr>
        <w:rPr>
          <w:rFonts w:ascii="MrEavesModOT" w:hAnsi="MrEavesModOT"/>
          <w:sz w:val="24"/>
          <w:szCs w:val="24"/>
        </w:rPr>
      </w:pPr>
      <w:r w:rsidRPr="00211757">
        <w:rPr>
          <w:rFonts w:ascii="MrEavesModOT" w:hAnsi="MrEavesModOT"/>
          <w:sz w:val="24"/>
          <w:szCs w:val="24"/>
        </w:rPr>
        <w:t>What are the various “welcoming” approaches that this text is sharing?</w:t>
      </w:r>
    </w:p>
    <w:p w:rsidR="00211757" w:rsidRPr="00211757" w:rsidRDefault="00211757" w:rsidP="00B353C2">
      <w:pPr>
        <w:pStyle w:val="ListParagraph"/>
        <w:numPr>
          <w:ilvl w:val="0"/>
          <w:numId w:val="1"/>
        </w:numPr>
        <w:rPr>
          <w:rFonts w:ascii="MrEavesModOT" w:hAnsi="MrEavesModOT"/>
          <w:sz w:val="24"/>
          <w:szCs w:val="24"/>
        </w:rPr>
      </w:pPr>
      <w:r w:rsidRPr="00211757">
        <w:rPr>
          <w:rFonts w:ascii="MrEavesModOT" w:hAnsi="MrEavesModOT"/>
          <w:sz w:val="24"/>
          <w:szCs w:val="24"/>
        </w:rPr>
        <w:t>How do these approaches relate to your work</w:t>
      </w:r>
      <w:bookmarkStart w:id="0" w:name="_GoBack"/>
      <w:bookmarkEnd w:id="0"/>
      <w:r w:rsidRPr="00211757">
        <w:rPr>
          <w:rFonts w:ascii="MrEavesModOT" w:hAnsi="MrEavesModOT"/>
          <w:sz w:val="24"/>
          <w:szCs w:val="24"/>
        </w:rPr>
        <w:t xml:space="preserve">? </w:t>
      </w:r>
    </w:p>
    <w:p w:rsidR="001605EB" w:rsidRPr="00211757" w:rsidRDefault="00B353C2">
      <w:pPr>
        <w:rPr>
          <w:rFonts w:ascii="MrEavesModOT" w:hAnsi="MrEavesModOT"/>
        </w:rPr>
      </w:pPr>
    </w:p>
    <w:sectPr w:rsidR="001605EB" w:rsidRPr="002117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rEavesModOT">
    <w:panose1 w:val="020B0603060502020202"/>
    <w:charset w:val="00"/>
    <w:family w:val="swiss"/>
    <w:notTrueType/>
    <w:pitch w:val="variable"/>
    <w:sig w:usb0="00000003" w:usb1="00000001"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044F09"/>
    <w:multiLevelType w:val="hybridMultilevel"/>
    <w:tmpl w:val="39C0E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757"/>
    <w:rsid w:val="0003794A"/>
    <w:rsid w:val="00152919"/>
    <w:rsid w:val="00211757"/>
    <w:rsid w:val="00305EF5"/>
    <w:rsid w:val="00B353C2"/>
    <w:rsid w:val="00CD2B9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819D7"/>
  <w15:chartTrackingRefBased/>
  <w15:docId w15:val="{979DA9D8-8031-42EC-B823-ECC9CC7BA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17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1757"/>
    <w:pPr>
      <w:ind w:left="720"/>
      <w:contextualSpacing/>
    </w:pPr>
  </w:style>
  <w:style w:type="character" w:styleId="Hyperlink">
    <w:name w:val="Hyperlink"/>
    <w:basedOn w:val="DefaultParagraphFont"/>
    <w:uiPriority w:val="99"/>
    <w:semiHidden/>
    <w:unhideWhenUsed/>
    <w:rsid w:val="002117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efaria.org/Genesis.18.1?lang=he-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efaria.org/Job.31.32?lang=he-en"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1560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Leeza</dc:creator>
  <cp:keywords/>
  <dc:description/>
  <cp:lastModifiedBy>Lisa Berman</cp:lastModifiedBy>
  <cp:revision>3</cp:revision>
  <dcterms:created xsi:type="dcterms:W3CDTF">2019-12-13T18:06:00Z</dcterms:created>
  <dcterms:modified xsi:type="dcterms:W3CDTF">2019-12-13T18:07:00Z</dcterms:modified>
</cp:coreProperties>
</file>